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A9" w:rsidRDefault="00397727" w:rsidP="00397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27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безопасности эксплуатации оборудования плоскостных спортивных сооружений по баскетболу, волейболу, мини-футболу, тренажерным площадкам</w:t>
      </w:r>
    </w:p>
    <w:p w:rsidR="00397727" w:rsidRDefault="00397727" w:rsidP="003977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977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с учетом требований действующих нормативных правовых актов по организации и безопасному проведению занятий по физической культуре и спорту на следующих плоскостных спортивных сооружениях: - площадках для спортивных игр (баскетбол, волейбол, мини-футбол);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тренажерных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оказать помощь специалистам физической культуры и спорта и должностным лицам при организации и проведения учебно-спортивных занятий, спортивных соревнований и активного отдыха населения, в обеспечении безопасности занимающихся, содержании оборудования и инвентаря в пригодном для проведения занятий состоянии, а также предупреждении несчастных случаев и травматизма на этих занятиях.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Методические рекомендации разработаны в соответствии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Трудовым Кодексом РФ; - Федеральным законом «О физической культуре и спорте в Российской Федерации» от 04.12.2007 № 329-ФЗ (ред. от 28.07.2012);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52024-2003«Услуги физкультурно-оздоровительные и спортивные. Общие требования»; - ГОСТ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52025-2003«Услуги физкультурно-оздоровительные и спортивные. Требования безопасности потребителей»; - СП 31-115-2006 «Открытые плоскостные физкультурн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спортивные сооружения»;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СП 31-115 - 2008 «Открытые физкультурно-спортивные сооружения. Часть 3 »; - ГОСТ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площадок. Безопасность конструкции и методы испытаний. Общие требования»;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СП 31-102-99 «Требования доступности общественных зданий и сооружений для инвалидов и других маломобильных посетителей»; - Гигиенические требования к условиям обучения школьников в различных видах современных общеобразовательных учреждений санитарные правила и нормы 2.4.2. -576-96;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Санитарными правилами и нормами 2.4.4. 1251-03; -Стандартом № 005-2012 «Ворота для футбола. Требования к функциональным характеристикам и безопасности. Методы испытаний»; - Приказом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РФ от 05.03.2011 № 169н «Об утверждении </w:t>
      </w:r>
      <w:r w:rsidRPr="00054FA2">
        <w:rPr>
          <w:rFonts w:ascii="Times New Roman" w:hAnsi="Times New Roman" w:cs="Times New Roman"/>
          <w:sz w:val="28"/>
          <w:szCs w:val="28"/>
        </w:rPr>
        <w:lastRenderedPageBreak/>
        <w:t>требований к комплектации изделиями медицинского назначения аптечек для оказания первой помощи работникам».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 xml:space="preserve">2. ОСНОВНЫЕ ПРИЧИНЫ ТРАВМАТИЗМА ПРИ ЗАНЯТИЯХ ФИЗИЧЕСКОЙ КУЛЬТУРОЙ И СПОРТОМ НА ПЛОСКОСТНЫХ СПОРТИВНЫХ СООРУЖЕНИЯХ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 занятиях по физической культуре и спорту используется разнообразное спортивное оборудование и инвентарь, безопасность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которых зависит от знаний тренеров-преподавателей и занимающихся установленного порядка применения этого оборудования и инвентаря.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Для предотвращения случаев травматизма на плоскостных спортивных сооружениях необходимо знать и выполнять следующие правила: - все действия занимающихся со спортивным оборудованием и инвентарем должны осуществляться под непосредственным наблюдением преподавателя (тренера);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самостоятельные действия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допускаются только с разрешения преподавателя (тренера);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все оборудование, инвентарь и особенно страховочные технические средства (поролоновые ямы и т.д.) должны соответствовать ГОСТ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52024-2003. Их соответствие требованиям правил безопасности занятий по физической культуре и спорту оформляется актом установленной формы.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Основными причинами травматизма на плоскостных спортивных площадках при использовании спортивного оборудования являются: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неправильно спроектированные и построенные спортивные площадки (лучи солнечного света направлены в глаза),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неудовлетворительное санитарно-гигиеническое состояние площадок: недостаточное освещение мест занятий, запыленность;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неблагоприятные метеорологические условия (высокие влажность и температура воздуха; дождь, снег, сильный ветер);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проведение занятий при отсутствии преподавателя (тренера); - отсутствие зон безопасности на спортивных площадках;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неровность футбольных и гандбольных полей; 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плохая подготовка мест и инвентаря для проведения учебно-тренировочных занятий и соревнований (плохое крепление, не выявленные дефекты);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- низкий уровень воспитательной работы, который приводит к нарушению дисциплины, невнимательности, поспешности. Зачастую этому способствуют либерализм или низкая квалификация учителей физкультуры, судей и тренеров.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ТРЕБОВАНИЯ БЕЗОПАСНОСТИ К ОРГАНИЗАЦИИ ПРОВЕДЕНИЮ ЗАНЯТИЙ ПО ФИЗИЧЕСКОЙ КУЛЬТУРЕ И СПОРТУ НА ПЛОСКОСТНЫХ СПОРТИВНЫХ СООРУЖЕНИЯХ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FA2">
        <w:rPr>
          <w:rFonts w:ascii="Times New Roman" w:hAnsi="Times New Roman" w:cs="Times New Roman"/>
          <w:sz w:val="28"/>
          <w:szCs w:val="28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и спортом на таких объектах спорта.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Требования к руководителям занятий: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должен иметь соответствующую профессиональную квалификацию, подтвержденную документами, оформленными в установленном порядке.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должен обеспечить безопасность жизни, здоровья занимающихся, а также уметь действовать во внештатных ситуациях (пожар, несчастный случай, ухудшение самочувствия, резкое изменение погодных условий и т.д.).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Руководитель занятий обязан: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обеспечивать безопасность занимающихся при проведении занятий физической культурой и спортом;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соблюдать правила эксплуатации спортивного оборудования, снаряжения и инвентаря;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своевременно проходить инструктажи по технике безопасности при проведении занятий физической культурой и спортом;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знать и соблюдать действующие законы, иные нормативные правовые акты, касающиеся его профессиональной деятельности, должностные инструкции, соответствующие программы проведения учебно-тренировочных занятий, физкультурных и спортивных мероприятий;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владеть навыками организационно-методической и преподавательской деятельности.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открытым спортивным площадкам: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 плоскостном спортивном сооружении должны быть организованы места занятий, которые соответствуют нормам по охране труда, правилам техники безопасности, санитарным правилам и нормам, а также возрастным особенностям занимающихся;</w:t>
      </w:r>
    </w:p>
    <w:p w:rsidR="00397727" w:rsidRPr="00054FA2" w:rsidRDefault="00397727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спортивно-игровые площадки должны иметь покрытие, соответствующее нормам и правилам проводимых на них физкультурно-оздоровительных и спортивных мероприятий;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- занятия на площадках, имеющих сырую, неровную поверхность, впадины и выбоины, проводить запрещается;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площадки для подвижных игр должны быть установленных размеров, ровными, очищенными от камней и других инородных предметов;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содержание территории плоскостных спортивных сооружений должно обеспечивать свободный проезд (подъезд) технических сре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>ециальных служб (пожарная, спасательная, санитарная и др. техника);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ядро должно, как правило, иметь ограждение (по внешнему периметру) высотой 0,7м. При наличии барьера перед первым рядом трибун, заполняемых сверху, ограждение спортивного ядра может не предусматриваться;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площадки нельзя ограждать канавами, устраивать деревянные или кирпичные бровки. Зоны безопасности вокруг площадок, полей и т.д. устанавливаются в соответствии с правилами соревнований или оговариваются в Положении о соревнованиях (физкультурных мероприятиях);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по периметру поля, обособленного земельного участка комплекса открытых спортивных сооружений следует предусматривать озеленение,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обваловку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площадок,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ветро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>- и пылезащитные полосы.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>о периметру отдельных групп открытых плоскостных спортивных сооружений, входящих в комплекс, следует предусматривать полосу кустарниковых насаждений шириной до 3 м.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поверхность покрытия на путях движения занимающихся и зрителей не должна быть скользкой под влиянием дождя и снега;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FA2">
        <w:rPr>
          <w:rFonts w:ascii="Times New Roman" w:hAnsi="Times New Roman" w:cs="Times New Roman"/>
          <w:b/>
          <w:bCs/>
          <w:sz w:val="28"/>
          <w:szCs w:val="28"/>
        </w:rPr>
        <w:t>Требования к спортивному оборудованию, снаряжению и инвентарю: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Все спортивные снаряды и оборудование, установленные на открытых местах проведения занятий, должны находиться в полной исправности и быть надёжно закреплены. Надёжность установки и результаты испытаний инвентаря и оборудования должны быть зафиксированы в специальном журнале. Размещение оборудования должно предусматривать безопасную зону вокруг каждого гимнастического снаряда.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На спортивный инвентарь импортного производства, применяемый при оказании спортивных услуг, должны быть сопроводительные (эксплуатационные) документы на русском языке;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спортивное оборудование, снаряжение и инвентарь, подлежащие обязательной сертификации, должны быть сертифицированы в установленном порядке;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оборудование, снаряжение и инвентарь, не подлежащие обязательной сертификации, должны иметь документ изготовителя, подтверждающий их пригодность и безопасность применения;</w:t>
      </w:r>
    </w:p>
    <w:p w:rsidR="00054FA2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</w:t>
      </w:r>
      <w:r w:rsidR="00054FA2" w:rsidRPr="00054FA2">
        <w:rPr>
          <w:rFonts w:ascii="Times New Roman" w:hAnsi="Times New Roman" w:cs="Times New Roman"/>
          <w:sz w:val="28"/>
          <w:szCs w:val="28"/>
        </w:rPr>
        <w:t>ю, исключающей получение травм;</w:t>
      </w:r>
    </w:p>
    <w:p w:rsidR="00054FA2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элементы оборудования из металла должны быть защищены от коррозии (или изготовлены из </w:t>
      </w:r>
      <w:proofErr w:type="gramStart"/>
      <w:r w:rsidRPr="00054FA2">
        <w:rPr>
          <w:rFonts w:ascii="Times New Roman" w:hAnsi="Times New Roman" w:cs="Times New Roman"/>
          <w:sz w:val="28"/>
          <w:szCs w:val="28"/>
        </w:rPr>
        <w:t>коррозионно-стойких</w:t>
      </w:r>
      <w:proofErr w:type="gramEnd"/>
      <w:r w:rsidRPr="00054FA2">
        <w:rPr>
          <w:rFonts w:ascii="Times New Roman" w:hAnsi="Times New Roman" w:cs="Times New Roman"/>
          <w:sz w:val="28"/>
          <w:szCs w:val="28"/>
        </w:rPr>
        <w:t xml:space="preserve"> материалов);</w:t>
      </w:r>
    </w:p>
    <w:p w:rsidR="00397727" w:rsidRPr="00054FA2" w:rsidRDefault="00397727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-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элементы оборудования из древесины должны изготавливаться из древесины классов «стойкие» и «</w:t>
      </w:r>
      <w:proofErr w:type="spellStart"/>
      <w:r w:rsidRPr="00054FA2">
        <w:rPr>
          <w:color w:val="auto"/>
          <w:sz w:val="28"/>
          <w:szCs w:val="28"/>
        </w:rPr>
        <w:t>среднестойкие</w:t>
      </w:r>
      <w:proofErr w:type="spellEnd"/>
      <w:r w:rsidRPr="00054FA2">
        <w:rPr>
          <w:color w:val="auto"/>
          <w:sz w:val="28"/>
          <w:szCs w:val="28"/>
        </w:rPr>
        <w:t xml:space="preserve">» по ГОСТ 20022.2 и не должны иметь на поверхности дефектов обработки (например, заусенцев, </w:t>
      </w:r>
      <w:proofErr w:type="spellStart"/>
      <w:r w:rsidRPr="00054FA2">
        <w:rPr>
          <w:color w:val="auto"/>
          <w:sz w:val="28"/>
          <w:szCs w:val="28"/>
        </w:rPr>
        <w:t>задиров</w:t>
      </w:r>
      <w:proofErr w:type="spellEnd"/>
      <w:r w:rsidRPr="00054FA2">
        <w:rPr>
          <w:color w:val="auto"/>
          <w:sz w:val="28"/>
          <w:szCs w:val="28"/>
        </w:rPr>
        <w:t xml:space="preserve">, </w:t>
      </w:r>
      <w:proofErr w:type="spellStart"/>
      <w:r w:rsidRPr="00054FA2">
        <w:rPr>
          <w:color w:val="auto"/>
          <w:sz w:val="28"/>
          <w:szCs w:val="28"/>
        </w:rPr>
        <w:t>отщепов</w:t>
      </w:r>
      <w:proofErr w:type="spellEnd"/>
      <w:r w:rsidRPr="00054FA2">
        <w:rPr>
          <w:color w:val="auto"/>
          <w:sz w:val="28"/>
          <w:szCs w:val="28"/>
        </w:rPr>
        <w:t>, сколов и т.п.);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элементы оборудования из древесины, от которых зависит прочность оборудования, в случае постоянного контакта с грунтом предохраняют методами химической защиты древесины от биологических агентов в соответствии с ГОСТ 20022.0 и ГОСТ 20022.2, дополнительно можно применять конструктивные методы защиты (например, металлический подпятник);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выборе металлических креплений необходимо учитывать тип древесины и применяемого антисептика во избежание ускоренной коррозии металла;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наличие выступающих элементов оборудования с острыми концами или кромками не допускается;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наличие шероховатых поверхностей, способных нанести травму, не допускается;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выступающие концы болтовых соединений должны быть защищены;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сварные швы должны быть гладкими;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углы и края любой доступной части оборудования должны быть закруглены. Минимальный радиус закругления 3 мм;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угол между стенками V-образных зазоров и щелей должен быть не менее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60°;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крепление элементов оборудования должно исключать возможность их демонтажа без применения инструментов;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все спортивные снаряды и оборудование должны находиться в полной исправности и быть надежно закреплены;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в узлах и сочленениях спортивных снарядов не должно быть люфтов, качаний, прогибов;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размер баскетбольного щита должен быть 1800мм по горизонтали и 1050мм по вертикали. Нижняя часть щита должна быть гладкой. Щиты должны прочно прикрепляться к стойкам, которые могут иметь любое конструктивное решение, обеспечивающее жесткость, прочность и безопасность конструкций; либо жестко монтироваться к стене, и выступать от лицевой линии на 1200мм Щиты должны быть сделаны из материала имеющего ту же степень твердости, что и </w:t>
      </w:r>
      <w:proofErr w:type="spellStart"/>
      <w:r w:rsidRPr="00054FA2">
        <w:rPr>
          <w:color w:val="auto"/>
          <w:sz w:val="28"/>
          <w:szCs w:val="28"/>
        </w:rPr>
        <w:t>тттиты</w:t>
      </w:r>
      <w:proofErr w:type="spellEnd"/>
      <w:r w:rsidRPr="00054FA2">
        <w:rPr>
          <w:color w:val="auto"/>
          <w:sz w:val="28"/>
          <w:szCs w:val="28"/>
        </w:rPr>
        <w:t>, сделанные из твердого дерева толщиной 3 см. Кольца должны иметь диаметр 45 см и толщиной металла от 16 мм до 20 мм. Приспособления для крепления сеток не должны иметь острых краев и щелей;</w:t>
      </w:r>
    </w:p>
    <w:p w:rsidR="00054FA2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баскетбольный мяч должен иметь сферическую форму и вес не менее 567 г и не более 650 г. Он должен быть накачан до такой степени воздушного давления,</w:t>
      </w:r>
      <w:r w:rsidR="00054FA2" w:rsidRPr="00054FA2">
        <w:rPr>
          <w:color w:val="auto"/>
          <w:sz w:val="28"/>
          <w:szCs w:val="28"/>
        </w:rPr>
        <w:t xml:space="preserve"> </w:t>
      </w:r>
      <w:r w:rsidR="00054FA2" w:rsidRPr="00054FA2">
        <w:rPr>
          <w:color w:val="auto"/>
          <w:sz w:val="28"/>
          <w:szCs w:val="28"/>
        </w:rPr>
        <w:t>чтобы при падении с высоты 1,80 м, измеренной от нижней поверхности мяча, отскакивал на высоту не менее 1,20 м и не более 1,40 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волейбольные стойки должны устанавливаться на расстоянии не ближе 50 см от боковых линий, а их крепление не должно представлять опасность для игроков. Стойки должны быть круглого сечения, изготавливаться из любого прочного и жесткого материала. </w:t>
      </w:r>
      <w:proofErr w:type="gramStart"/>
      <w:r w:rsidRPr="00054FA2">
        <w:rPr>
          <w:color w:val="auto"/>
          <w:sz w:val="28"/>
          <w:szCs w:val="28"/>
        </w:rPr>
        <w:t>Высота стойки должна обеспечивать крепление сетки на необходимом уровне;</w:t>
      </w:r>
      <w:proofErr w:type="gramEnd"/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волейбольная сетка должна иметь ширину 1 м, длину 9,5м. Высота, на которую натягивается сетка в центре площадки, составляет для мужчин 2,43 м, для женщин 2,24 м. На сетке над боковыми линиями площадки устанавливаются антенны, высота которых превышает высоту сетки на 80 см;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вес волейбольного мяча - 270-280 г., окружность - 65 см. Давление воздуха внутри камеры должно составлять максимум 0,051 кг/см";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футбольные ворота - закрепленные в установочных гильзах (с отдельно стоящими стойками натяжения сетки, либо оборудованные рамой крепежа сетки), свободно стоящие (с закреплением к земле съемным крепежом, либо с закреплением к земле противовесом) должны быть надёжно закреплены на земле; использование переносных ворот допускается, если они соответствуют данному требованию. Стойки и перекладина ворот изготавливаются из металла, дерева или другого разрешённого соответствующим стандартом материала. Конструкция рамы ворот должна обладать достаточной прочностью, чтобы противостоять нагрузкам, возникающим в процессе игры и перемещения ворот. Открытые углы и грани (ребра), должны быть скруглены с радиусом как минимум 3 мм. Между каркасом ворот и частью конструкции ворот, располагающейся на земле, не должно быть свободного пространства. Элементы или профиль конструкции ворот, лежащей на земле, не должны выступать за пределы (в стороны от) штанг. Во избежание </w:t>
      </w:r>
      <w:proofErr w:type="spellStart"/>
      <w:r w:rsidRPr="00054FA2">
        <w:rPr>
          <w:color w:val="auto"/>
          <w:sz w:val="28"/>
          <w:szCs w:val="28"/>
        </w:rPr>
        <w:t>застреваний</w:t>
      </w:r>
      <w:proofErr w:type="spellEnd"/>
      <w:r w:rsidRPr="00054FA2">
        <w:rPr>
          <w:color w:val="auto"/>
          <w:sz w:val="28"/>
          <w:szCs w:val="28"/>
        </w:rPr>
        <w:t>, никакой из элементов конструкции ворот,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расположенных свыше 1200 мм от поверхности земли (например, рама поддержки сетки)</w:t>
      </w:r>
      <w:proofErr w:type="gramStart"/>
      <w:r w:rsidRPr="00054FA2">
        <w:rPr>
          <w:color w:val="auto"/>
          <w:sz w:val="28"/>
          <w:szCs w:val="28"/>
        </w:rPr>
        <w:t>,н</w:t>
      </w:r>
      <w:proofErr w:type="gramEnd"/>
      <w:r w:rsidRPr="00054FA2">
        <w:rPr>
          <w:color w:val="auto"/>
          <w:sz w:val="28"/>
          <w:szCs w:val="28"/>
        </w:rPr>
        <w:t>е должен иметь сужений с углом менее чем в 60°, и отверстий (проемов) диаметром менее 230 мм;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 xml:space="preserve">- футбольная сетка прикрепляется к воротам и грунту за ними, и должна быть надежно закреплена. Она должна держаться на воротах, не </w:t>
      </w:r>
      <w:proofErr w:type="gramStart"/>
      <w:r w:rsidRPr="00054FA2">
        <w:rPr>
          <w:color w:val="auto"/>
          <w:sz w:val="28"/>
          <w:szCs w:val="28"/>
        </w:rPr>
        <w:t>мешать вратарю защищать</w:t>
      </w:r>
      <w:proofErr w:type="gramEnd"/>
      <w:r w:rsidRPr="00054FA2">
        <w:rPr>
          <w:color w:val="auto"/>
          <w:sz w:val="28"/>
          <w:szCs w:val="28"/>
        </w:rPr>
        <w:t xml:space="preserve"> их, не рваться в местах крепления к штанге ворот, не портиться под воздействием погодных условий, цепляться за покрытие. Сетка должна выдерживать вес вратаря, на случай, если тот упадёт на неё в игровой ситуации. Элементы крепежа сетки к воротам должны быть разработаны таким образом, чтобы исключить травмы спортсменов (это требование выполняется, если любые отверстия/зазоры, расположенные на поверхности штанг и перекладины ворот имеют размер (ширину или диаметр) &lt; 8 мм или &gt; 25 мм). Не должны использоваться открытые захватывающие металлические крючки. Если используются карабины, они должны быть оснащены резьбовыми фиксаторами;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054FA2">
        <w:rPr>
          <w:color w:val="auto"/>
          <w:sz w:val="28"/>
          <w:szCs w:val="28"/>
        </w:rPr>
        <w:t>- футбольный мяч имеет сферическую форму; изготовлен из кожи или другого пригодного для этих целей материала; имеет длину окружности не более 70 см и не менее 68 см; вес мяча не более 450 г (16 унций) и не менее 410 г (14 унций), имеет давление, равное 0,6 -1,1 атмосферы (600 — 1100 г/кв. см) на уровне моря;</w:t>
      </w:r>
      <w:proofErr w:type="gramEnd"/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материалу игрового оборудования и условиям его обработки: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54FA2">
        <w:rPr>
          <w:color w:val="auto"/>
          <w:sz w:val="28"/>
          <w:szCs w:val="28"/>
        </w:rPr>
        <w:t>металлопластик</w:t>
      </w:r>
      <w:proofErr w:type="spellEnd"/>
      <w:r w:rsidRPr="00054FA2">
        <w:rPr>
          <w:color w:val="auto"/>
          <w:sz w:val="28"/>
          <w:szCs w:val="28"/>
        </w:rPr>
        <w:t>, который не травмирует, не ржавеет, морозоустойчив;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бетонные и железобетонные элементы оборудования должны быть выполнены из бетона рекомендуемые соответственно для спортивных сооружений, морозостойкостью не менее 150, иметь гладкие поверхности;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Конструкции игрового оборудования должны исключать острые углы,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Требования к освещению: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Плоскостные спортивные сооружения должны быть освещены, от организации их освещения зависит безопасность занимающихся, значительно снижается риск получения спортивных травм.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 xml:space="preserve">Освещенность на плоскостном сооружении необходимо соблюдать не менее </w:t>
      </w:r>
      <w:proofErr w:type="spellStart"/>
      <w:r w:rsidRPr="00054FA2">
        <w:rPr>
          <w:color w:val="auto"/>
          <w:sz w:val="28"/>
          <w:szCs w:val="28"/>
        </w:rPr>
        <w:t>ЗООлк</w:t>
      </w:r>
      <w:proofErr w:type="spellEnd"/>
      <w:r w:rsidRPr="00054FA2">
        <w:rPr>
          <w:color w:val="auto"/>
          <w:sz w:val="28"/>
          <w:szCs w:val="28"/>
        </w:rPr>
        <w:t>.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4. МЕТОДЫ КОНТРОЛЯ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Для оценки качества и безопасности плоскостных спортивных сооружений, а также оборудования и </w:t>
      </w:r>
      <w:proofErr w:type="gramStart"/>
      <w:r w:rsidRPr="00054FA2">
        <w:rPr>
          <w:color w:val="auto"/>
          <w:sz w:val="28"/>
          <w:szCs w:val="28"/>
        </w:rPr>
        <w:t>инвентаря, установленного на них используют</w:t>
      </w:r>
      <w:proofErr w:type="gramEnd"/>
      <w:r w:rsidRPr="00054FA2">
        <w:rPr>
          <w:color w:val="auto"/>
          <w:sz w:val="28"/>
          <w:szCs w:val="28"/>
        </w:rPr>
        <w:t xml:space="preserve"> следующие основные методы контроля: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</w:t>
      </w:r>
      <w:proofErr w:type="gramStart"/>
      <w:r w:rsidRPr="00054FA2">
        <w:rPr>
          <w:color w:val="auto"/>
          <w:sz w:val="28"/>
          <w:szCs w:val="28"/>
        </w:rPr>
        <w:t>визуальный</w:t>
      </w:r>
      <w:proofErr w:type="gramEnd"/>
      <w:r w:rsidRPr="00054FA2">
        <w:rPr>
          <w:color w:val="auto"/>
          <w:sz w:val="28"/>
          <w:szCs w:val="28"/>
        </w:rPr>
        <w:t xml:space="preserve"> - проверка объектов спорта, спортивного оборудования, снаряжения, инвентаря, трасс, маршрутов и пр.;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</w:t>
      </w:r>
      <w:proofErr w:type="gramStart"/>
      <w:r w:rsidRPr="00054FA2">
        <w:rPr>
          <w:color w:val="auto"/>
          <w:sz w:val="28"/>
          <w:szCs w:val="28"/>
        </w:rPr>
        <w:t>аналитический</w:t>
      </w:r>
      <w:proofErr w:type="gramEnd"/>
      <w:r w:rsidRPr="00054FA2">
        <w:rPr>
          <w:color w:val="auto"/>
          <w:sz w:val="28"/>
          <w:szCs w:val="28"/>
        </w:rPr>
        <w:t xml:space="preserve"> - врачебно-педагогическое наблюдение за состоянием занимающихся физической культурой и спортом, проверка профессиональной квалификации обслуживающего персонала, и др.;</w:t>
      </w:r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</w:t>
      </w:r>
      <w:proofErr w:type="gramStart"/>
      <w:r w:rsidRPr="00054FA2">
        <w:rPr>
          <w:color w:val="auto"/>
          <w:sz w:val="28"/>
          <w:szCs w:val="28"/>
        </w:rPr>
        <w:t>измерительный</w:t>
      </w:r>
      <w:proofErr w:type="gramEnd"/>
      <w:r w:rsidRPr="00054FA2">
        <w:rPr>
          <w:color w:val="auto"/>
          <w:sz w:val="28"/>
          <w:szCs w:val="28"/>
        </w:rPr>
        <w:t xml:space="preserve"> - проверка, поверка с использованием средств измерений и испытаний технического состояния спортивного оборудования и инвентаря.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На каждое плоскостное сооружение собственник обязан иметь утвержденные правила эксплуатации плоскостного сооружения.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Каждому собственнику плоскостного сооружения необходимо создать комиссию для проведения проверки эксплуатационной надежности, готовности плоскостного сооружения, а также разрешения на проведение занятий на нем.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По результатам проведения проверки комиссия обязана составить акт о готовности на проведение занятий на плоскостном сооружении, а также акт разрешения проведения занятий на плоскостном сооружении.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Обследование проводится 1 раз в год перед началом учебного года и устанавливается сроком на 1 год.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5. ПРОВЕРКИ И ИСПЫТАНИЯ СПОРТИВНОГО ОБОРУДОВАНИЯ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обеспечения безопасности занятий по физической культуре и спорту необходимо использовать спортивное оборудование, снаряжение и инвентарь только после проведения их проверки и испытаний.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Испытания футбольных ворот: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- при проверке прочности: приложить вертикально направленную силу в 1800 N к центру перекладины на 1мин+10с; зафиксировать повреждения или разрушение ворот; ослабить приложенную силу. Проверить наличие деформации ворот через 30 мин+30 </w:t>
      </w:r>
      <w:proofErr w:type="gramStart"/>
      <w:r w:rsidRPr="00054FA2">
        <w:rPr>
          <w:color w:val="auto"/>
          <w:sz w:val="28"/>
          <w:szCs w:val="28"/>
        </w:rPr>
        <w:t>с</w:t>
      </w:r>
      <w:proofErr w:type="gramEnd"/>
      <w:r w:rsidRPr="00054FA2">
        <w:rPr>
          <w:color w:val="auto"/>
          <w:sz w:val="28"/>
          <w:szCs w:val="28"/>
        </w:rPr>
        <w:t xml:space="preserve">, </w:t>
      </w:r>
      <w:proofErr w:type="gramStart"/>
      <w:r w:rsidRPr="00054FA2">
        <w:rPr>
          <w:color w:val="auto"/>
          <w:sz w:val="28"/>
          <w:szCs w:val="28"/>
        </w:rPr>
        <w:t>перекладина</w:t>
      </w:r>
      <w:proofErr w:type="gramEnd"/>
      <w:r w:rsidRPr="00054FA2">
        <w:rPr>
          <w:color w:val="auto"/>
          <w:sz w:val="28"/>
          <w:szCs w:val="28"/>
        </w:rPr>
        <w:t xml:space="preserve"> не должна деформироваться более чем на 10 мм;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при проверке стабильности ворот, закрепленных в установочных гильзах либо съемным крепежом: установить ворота в положение, предназначенное для использования; приложить горизонтально направленную силу в 1100 N к верхней части центра перекладины на 1мин+10с, используя для этого веревку длиной 3000 мм, ворота не должны опрокидываться или скользить.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Испытание перекладины: к середине грифа на высоте 2500 мм прикладывается нагрузка, равная 220 кг, прогиб может составлять не более 100±10 мм. После снятия нагрузки гриф должен принять первоначальное положение.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Испытания бревна: к середине бревна, устанавливаемого на высоте 1200 мм, подвешивается груз в 135 кг, прогиб бревна не должен превышать 8 мм.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Испытание баскетбольного щита: к середине щита баскетбольного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оборудования всех типов прикладывают сосредоточенную вертикальную нагрузку (3200±50) Н в течение (65±5)с. После испытаний на конструкции не должно быть повреждений, </w:t>
      </w:r>
      <w:proofErr w:type="spellStart"/>
      <w:r w:rsidRPr="00054FA2">
        <w:rPr>
          <w:color w:val="auto"/>
          <w:sz w:val="28"/>
          <w:szCs w:val="28"/>
        </w:rPr>
        <w:t>т.ч</w:t>
      </w:r>
      <w:proofErr w:type="spellEnd"/>
      <w:r w:rsidRPr="00054FA2">
        <w:rPr>
          <w:color w:val="auto"/>
          <w:sz w:val="28"/>
          <w:szCs w:val="28"/>
        </w:rPr>
        <w:t>. трещин, поломок, чрезмерных остаточных деформаций, ослабления соединений и связей.</w:t>
      </w:r>
    </w:p>
    <w:p w:rsidR="00054FA2" w:rsidRPr="00054FA2" w:rsidRDefault="00054FA2" w:rsidP="00054FA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Испытания «шведской стенки»: к каждой перекладине прикладывается нагрузка в 120 кг под углом 60 градусов.</w:t>
      </w:r>
    </w:p>
    <w:p w:rsidR="00397727" w:rsidRPr="00054FA2" w:rsidRDefault="00397727" w:rsidP="00054FA2">
      <w:pPr>
        <w:pStyle w:val="Default"/>
        <w:jc w:val="both"/>
        <w:rPr>
          <w:color w:val="auto"/>
          <w:sz w:val="28"/>
          <w:szCs w:val="28"/>
        </w:rPr>
      </w:pPr>
    </w:p>
    <w:p w:rsid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noProof/>
          <w:sz w:val="28"/>
          <w:szCs w:val="28"/>
          <w:lang w:eastAsia="ru-RU"/>
        </w:rPr>
        <w:drawing>
          <wp:inline distT="0" distB="0" distL="0" distR="0" wp14:anchorId="284DBD1E" wp14:editId="495CF3F3">
            <wp:extent cx="4175760" cy="234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067" cy="234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A2" w:rsidRDefault="00054FA2" w:rsidP="00054FA2"/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tab/>
      </w:r>
      <w:r w:rsidRPr="00054FA2">
        <w:rPr>
          <w:color w:val="auto"/>
          <w:sz w:val="28"/>
          <w:szCs w:val="28"/>
        </w:rPr>
        <w:t>AD - требуемая нагрузка к перекладине шведской стенки.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Направление действия силы по отношению к вертикали АС составляет угол </w:t>
      </w:r>
      <w:proofErr w:type="gramStart"/>
      <w:r w:rsidRPr="00054FA2">
        <w:rPr>
          <w:color w:val="auto"/>
          <w:sz w:val="28"/>
          <w:szCs w:val="28"/>
        </w:rPr>
        <w:t>С-</w:t>
      </w:r>
      <w:proofErr w:type="gramEnd"/>
      <w:r w:rsidRPr="00054FA2">
        <w:rPr>
          <w:color w:val="auto"/>
          <w:sz w:val="28"/>
          <w:szCs w:val="28"/>
        </w:rPr>
        <w:t xml:space="preserve"> А-D, равный 60о.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Практическое испытание соответствия перекладин безопасности гимнастических упражнений допускается производить вертикальной нагрузкой, приложенной к середине перекладины по направлению вектора АС величиной: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F1 240кг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Результаты испытаний спортивного оборудования фиксируются в акте испытания спортивного оборудования (прил. № 1).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Надежность установки и результаты испытаний инвентаря и оборудования должны быть зафиксированы в специальном журнале регистрации результатов испытаний спортивного инвентаря и оборудования (прил. № 2).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Журнал пронумеровывается, прошнуровывается, скрепляется подписью руководителя и печатью, Журнал хранится у руководителя организации.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Испытания спортивного инвентаря и оборудования проводятся до начала учебного года, а также в течение учебного года по мере вновь установленного спортивного оборудования.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По окончании необходимых проверок и испытания готовится акт-разрешение на проведение занятий по физической культуре и спорту (прил. № 3).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Для проведения массовых спортивных (физкультурных) мероприятий (соревнований) также выдается акт-разрешение на использование материально- технической базы учреждения (прил. № 4).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proofErr w:type="gramStart"/>
      <w:r w:rsidRPr="00054FA2">
        <w:rPr>
          <w:color w:val="auto"/>
          <w:sz w:val="28"/>
          <w:szCs w:val="28"/>
        </w:rPr>
        <w:t>Спртивные</w:t>
      </w:r>
      <w:proofErr w:type="spellEnd"/>
      <w:r w:rsidRPr="00054FA2">
        <w:rPr>
          <w:color w:val="auto"/>
          <w:sz w:val="28"/>
          <w:szCs w:val="28"/>
        </w:rPr>
        <w:t xml:space="preserve"> соревнования, показательные выступления и другие спортивные мероприятия, проводимые в присутствии зрителей организуются и проводятся в соответствии с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мероприятий», утв. Приказом Спорткомитета СССР от 17.10.1983 №786 (действителен на 2016 год) и «положением об</w:t>
      </w:r>
      <w:proofErr w:type="gramEnd"/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054FA2">
        <w:rPr>
          <w:color w:val="auto"/>
          <w:sz w:val="28"/>
          <w:szCs w:val="28"/>
        </w:rPr>
        <w:t>обеспечении</w:t>
      </w:r>
      <w:proofErr w:type="gramEnd"/>
      <w:r w:rsidRPr="00054FA2">
        <w:rPr>
          <w:color w:val="auto"/>
          <w:sz w:val="28"/>
          <w:szCs w:val="28"/>
        </w:rPr>
        <w:t xml:space="preserve"> общественного порядка и общественной безопасности при проведении мероприятий с массовым пребыванием людей», утв. КМ РТ от 10.07.2014 № 482.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6. ОРГАНИЗАЦИЯ РАБОТ ПО ОБЕСПЕЧЕНИЮ МЕРОПРИЯТИЙ ОХРАНЫ ТРУДА РАБОТНИКОВ И БЕЗОПАСНОСТИ УЧАЩИХСЯ: МЕТОДИЧЕСКИЕ УКАЗАНИЯ ПО РАЗРАБОТКЕ ПРАВИЛ И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ИНСТРУКЦИЙ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Работа по обеспечению достойных условий и охраны труда работников организуется работодателем в соответствии с требованиями действующего трудового законодательства, отраслевых и межотраслевых нормативных правовых актов по безопасности и охране труда.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Основными направлениями работ по охране труда, проводимых для работников организации, являются: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обучение работников вопросам по организации безопасных условий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проведение специальной оценки условий труда работников;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проведение медицинских осмотров работников;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закупка, выдача и обеспечение хранения средств индивидуальной и коллективной защиты;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информирование работников об условиях его труда, правах и обязанностях.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Примерный перечень локальных нормативных актов по охране труда: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мероприятий по улучшению условий охраны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положение об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положение о проведении инструктажей;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программа проведения вводного и первичного инструктажей;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противопожарных мероприятий;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и правила по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и правила поведения при антитеррористической угрозе;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инструкции оказания первой медицинской помощи.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программа производственного контроля;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lastRenderedPageBreak/>
        <w:t>- инструкции по правилам безопасности при проведении различных спортивных занятий, в зависимости от направленности спортивной школы;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журналы регистрации вводного, первичного и повторных инструктажей, по пожарной безопасности, регистрации и учета несчастных случаев, контроля проверки по охране труда;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план эвакуации при пожаре или иной чрезвычайной ситуации.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В силу специфики спортивных школ работу по охране труда, в частности работу по обеспечению безопасных условий во время занятий, в том числе различные инструктажи, приходится проводить не только с работниками, но и с учащимися. С работниками инструктаж проводит специалист по охране труда, а с учащимися, как правило, - педагоги. Нужно закрепить эту обязанность в их должностных инструкциях. Проведение инструктажа с </w:t>
      </w:r>
      <w:proofErr w:type="gramStart"/>
      <w:r w:rsidRPr="00054FA2">
        <w:rPr>
          <w:color w:val="auto"/>
          <w:sz w:val="28"/>
          <w:szCs w:val="28"/>
        </w:rPr>
        <w:t>обучающимися</w:t>
      </w:r>
      <w:proofErr w:type="gramEnd"/>
      <w:r w:rsidRPr="00054FA2">
        <w:rPr>
          <w:color w:val="auto"/>
          <w:sz w:val="28"/>
          <w:szCs w:val="28"/>
        </w:rPr>
        <w:t xml:space="preserve"> также фиксируется в журналах (прил. № 6). Это может быть инструктаж по безопасному </w:t>
      </w:r>
      <w:proofErr w:type="gramStart"/>
      <w:r w:rsidRPr="00054FA2">
        <w:rPr>
          <w:color w:val="auto"/>
          <w:sz w:val="28"/>
          <w:szCs w:val="28"/>
        </w:rPr>
        <w:t>поведению</w:t>
      </w:r>
      <w:proofErr w:type="gramEnd"/>
      <w:r w:rsidRPr="00054FA2">
        <w:rPr>
          <w:color w:val="auto"/>
          <w:sz w:val="28"/>
          <w:szCs w:val="28"/>
        </w:rPr>
        <w:t xml:space="preserve"> как в самом учреждении, так и при определенном занятии - тренировках, соревнованиях, поездках и т.д. Ответственность за жизнь и здоровье детей несут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 xml:space="preserve">тренеры-преподаватели (инструкторы), которые также осуществляют контроль своевременности прохождения медицинского осмотра и диспансеризации </w:t>
      </w:r>
      <w:proofErr w:type="gramStart"/>
      <w:r w:rsidRPr="00054FA2">
        <w:rPr>
          <w:color w:val="auto"/>
          <w:sz w:val="28"/>
          <w:szCs w:val="28"/>
        </w:rPr>
        <w:t>занимающимися</w:t>
      </w:r>
      <w:proofErr w:type="gramEnd"/>
      <w:r w:rsidRPr="00054FA2">
        <w:rPr>
          <w:color w:val="auto"/>
          <w:sz w:val="28"/>
          <w:szCs w:val="28"/>
        </w:rPr>
        <w:t>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Типовая инструкция по вопросам безопасности учащихся и инструкция для работников должны содержать следующие разделы: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общие требования безопасности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перед началом работы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во время работы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в аварийных ситуациях (прил. № 5);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color w:val="auto"/>
          <w:sz w:val="28"/>
          <w:szCs w:val="28"/>
        </w:rPr>
        <w:t>- требования безопасности по окончании работы (прил. № 5).</w:t>
      </w:r>
    </w:p>
    <w:p w:rsidR="00054FA2" w:rsidRPr="00054FA2" w:rsidRDefault="00054FA2" w:rsidP="00054FA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54FA2">
        <w:rPr>
          <w:b/>
          <w:bCs/>
          <w:color w:val="auto"/>
          <w:sz w:val="28"/>
          <w:szCs w:val="28"/>
        </w:rPr>
        <w:t>7. ТРЕБОВАНИЯ К КОМПЛЕКТАЦИИ АПТЕЧЕК ДЛЯ ОКАЗАНИЯ ПЕРВОЙ ПОМОЩИ</w:t>
      </w:r>
    </w:p>
    <w:p w:rsidR="00054FA2" w:rsidRPr="00054FA2" w:rsidRDefault="00054FA2" w:rsidP="00054FA2">
      <w:pPr>
        <w:tabs>
          <w:tab w:val="left" w:pos="25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РФ от 05.03.2011 № 169н «Об утверждении требований к комплектации изделиями медицинского назначения аптечек для оказания первой помощи работникам» с 01 января 2012 года действуют следующие требования к комплектации аптечек для оказания первой помощи: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49"/>
        <w:gridCol w:w="1843"/>
        <w:gridCol w:w="10"/>
        <w:gridCol w:w="1902"/>
        <w:gridCol w:w="1429"/>
        <w:gridCol w:w="473"/>
        <w:gridCol w:w="13"/>
        <w:gridCol w:w="1893"/>
      </w:tblGrid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№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54FA2">
              <w:rPr>
                <w:sz w:val="28"/>
                <w:szCs w:val="28"/>
              </w:rPr>
              <w:t>п</w:t>
            </w:r>
            <w:proofErr w:type="gramEnd"/>
            <w:r w:rsidRPr="00054FA2">
              <w:rPr>
                <w:sz w:val="28"/>
                <w:szCs w:val="28"/>
              </w:rPr>
              <w:t>/п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Наименование изделий медицинского назначения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Нормативный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документ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Форма выпуска (размеры)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Количество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054FA2">
              <w:rPr>
                <w:sz w:val="28"/>
                <w:szCs w:val="28"/>
              </w:rPr>
              <w:t>(штуки,</w:t>
            </w:r>
            <w:proofErr w:type="gramEnd"/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упаковки)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94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</w:t>
            </w:r>
          </w:p>
        </w:tc>
        <w:tc>
          <w:tcPr>
            <w:tcW w:w="5720" w:type="dxa"/>
            <w:gridSpan w:val="6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Изделия медицинского назначения для временной остановки наружного кровотечения и перевязки ран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1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Жгут кровоостанав</w:t>
            </w:r>
            <w:r w:rsidRPr="00054FA2">
              <w:rPr>
                <w:sz w:val="28"/>
                <w:szCs w:val="28"/>
              </w:rPr>
              <w:lastRenderedPageBreak/>
              <w:t>ливающий</w:t>
            </w:r>
          </w:p>
        </w:tc>
        <w:tc>
          <w:tcPr>
            <w:tcW w:w="3341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 xml:space="preserve">ГОСТ </w:t>
            </w:r>
            <w:proofErr w:type="gramStart"/>
            <w:r w:rsidRPr="00054FA2">
              <w:rPr>
                <w:sz w:val="28"/>
                <w:szCs w:val="28"/>
              </w:rPr>
              <w:t>Р</w:t>
            </w:r>
            <w:proofErr w:type="gramEnd"/>
            <w:r w:rsidRPr="00054FA2">
              <w:rPr>
                <w:sz w:val="28"/>
                <w:szCs w:val="28"/>
              </w:rPr>
              <w:t xml:space="preserve"> </w:t>
            </w:r>
            <w:proofErr w:type="spellStart"/>
            <w:r w:rsidRPr="00054FA2">
              <w:rPr>
                <w:sz w:val="28"/>
                <w:szCs w:val="28"/>
              </w:rPr>
              <w:t>исо</w:t>
            </w:r>
            <w:proofErr w:type="spellEnd"/>
            <w:r w:rsidRPr="00054FA2">
              <w:rPr>
                <w:sz w:val="28"/>
                <w:szCs w:val="28"/>
              </w:rPr>
              <w:t xml:space="preserve"> 10993-99 &lt;1&gt;</w:t>
            </w:r>
          </w:p>
        </w:tc>
        <w:tc>
          <w:tcPr>
            <w:tcW w:w="2379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&lt;2&gt;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5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1.3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1.4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нестерильный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7 м х 14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1.5.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7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1.6.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5 м х 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1.7.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Бинт марлевый медицинский стерильный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1172-93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7 м х 14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51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1.8.</w:t>
            </w:r>
          </w:p>
        </w:tc>
        <w:tc>
          <w:tcPr>
            <w:tcW w:w="184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3827" w:type="dxa"/>
            <w:gridSpan w:val="5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1179-93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&lt;3&gt;</w:t>
            </w:r>
          </w:p>
        </w:tc>
        <w:tc>
          <w:tcPr>
            <w:tcW w:w="1893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1.9.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Салфетки марлевые медицинские стерильные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ГОСТ 16427-93</w:t>
            </w:r>
          </w:p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&lt;4&gt;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16 х 14 см № 10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1 </w:t>
            </w:r>
            <w:proofErr w:type="spellStart"/>
            <w:r w:rsidRPr="00054FA2">
              <w:rPr>
                <w:sz w:val="28"/>
                <w:szCs w:val="28"/>
              </w:rPr>
              <w:t>уп</w:t>
            </w:r>
            <w:proofErr w:type="spellEnd"/>
            <w:r w:rsidRPr="00054FA2">
              <w:rPr>
                <w:sz w:val="28"/>
                <w:szCs w:val="28"/>
              </w:rPr>
              <w:t>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1.10.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бактерицидн</w:t>
            </w:r>
            <w:r w:rsidRPr="00054FA2">
              <w:rPr>
                <w:sz w:val="28"/>
                <w:szCs w:val="28"/>
              </w:rPr>
              <w:lastRenderedPageBreak/>
              <w:t>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 xml:space="preserve">ГОСТ </w:t>
            </w:r>
            <w:proofErr w:type="gramStart"/>
            <w:r w:rsidRPr="00054FA2">
              <w:rPr>
                <w:sz w:val="28"/>
                <w:szCs w:val="28"/>
              </w:rPr>
              <w:t>Р</w:t>
            </w:r>
            <w:proofErr w:type="gramEnd"/>
            <w:r w:rsidRPr="00054FA2">
              <w:rPr>
                <w:sz w:val="28"/>
                <w:szCs w:val="28"/>
              </w:rPr>
              <w:t xml:space="preserve"> ИСО 10993-99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4x10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2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бактерицидный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ГОСТ </w:t>
            </w:r>
            <w:proofErr w:type="gramStart"/>
            <w:r w:rsidRPr="00054FA2">
              <w:rPr>
                <w:sz w:val="28"/>
                <w:szCs w:val="28"/>
              </w:rPr>
              <w:t>Р</w:t>
            </w:r>
            <w:proofErr w:type="gramEnd"/>
            <w:r w:rsidRPr="00054FA2">
              <w:rPr>
                <w:sz w:val="28"/>
                <w:szCs w:val="28"/>
              </w:rPr>
              <w:t xml:space="preserve"> ИСО 10993-99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1,9 см х</w:t>
            </w:r>
            <w:proofErr w:type="gramStart"/>
            <w:r w:rsidRPr="00054FA2">
              <w:rPr>
                <w:sz w:val="28"/>
                <w:szCs w:val="28"/>
              </w:rPr>
              <w:t>7</w:t>
            </w:r>
            <w:proofErr w:type="gramEnd"/>
            <w:r w:rsidRPr="00054FA2">
              <w:rPr>
                <w:sz w:val="28"/>
                <w:szCs w:val="28"/>
              </w:rPr>
              <w:t>,2 см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10 шт.</w:t>
            </w:r>
          </w:p>
        </w:tc>
      </w:tr>
      <w:tr w:rsidR="00054FA2" w:rsidRPr="00054FA2" w:rsidTr="006D5E1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1.12.</w:t>
            </w:r>
          </w:p>
        </w:tc>
        <w:tc>
          <w:tcPr>
            <w:tcW w:w="1902" w:type="dxa"/>
            <w:gridSpan w:val="3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Лейкопластырь рулонный</w:t>
            </w:r>
          </w:p>
        </w:tc>
        <w:tc>
          <w:tcPr>
            <w:tcW w:w="1902" w:type="dxa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ГОСТ </w:t>
            </w:r>
            <w:proofErr w:type="gramStart"/>
            <w:r w:rsidRPr="00054FA2">
              <w:rPr>
                <w:sz w:val="28"/>
                <w:szCs w:val="28"/>
              </w:rPr>
              <w:t>Р</w:t>
            </w:r>
            <w:proofErr w:type="gramEnd"/>
            <w:r w:rsidRPr="00054FA2">
              <w:rPr>
                <w:sz w:val="28"/>
                <w:szCs w:val="28"/>
              </w:rPr>
              <w:t xml:space="preserve"> ИСО</w:t>
            </w:r>
          </w:p>
        </w:tc>
        <w:tc>
          <w:tcPr>
            <w:tcW w:w="1902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>Не менее 1 см х</w:t>
            </w:r>
          </w:p>
        </w:tc>
        <w:tc>
          <w:tcPr>
            <w:tcW w:w="1906" w:type="dxa"/>
            <w:gridSpan w:val="2"/>
          </w:tcPr>
          <w:p w:rsidR="00054FA2" w:rsidRPr="00054FA2" w:rsidRDefault="00054FA2" w:rsidP="006D5E11">
            <w:pPr>
              <w:pStyle w:val="Default"/>
              <w:jc w:val="both"/>
              <w:rPr>
                <w:sz w:val="28"/>
                <w:szCs w:val="28"/>
              </w:rPr>
            </w:pPr>
            <w:r w:rsidRPr="00054FA2">
              <w:rPr>
                <w:sz w:val="28"/>
                <w:szCs w:val="28"/>
              </w:rPr>
              <w:t xml:space="preserve">1 </w:t>
            </w:r>
            <w:proofErr w:type="gramStart"/>
            <w:r w:rsidRPr="00054FA2">
              <w:rPr>
                <w:sz w:val="28"/>
                <w:szCs w:val="28"/>
              </w:rPr>
              <w:t>ШТ</w:t>
            </w:r>
            <w:proofErr w:type="gramEnd"/>
            <w:r w:rsidRPr="00054FA2">
              <w:rPr>
                <w:sz w:val="28"/>
                <w:szCs w:val="28"/>
              </w:rPr>
              <w:t>,</w:t>
            </w:r>
          </w:p>
        </w:tc>
      </w:tr>
    </w:tbl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</w:p>
    <w:p w:rsidR="00D01591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Примечания: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1. Аптечка для оказания первой медицинской помощи должна находиться у балансодержателя спортивного сооружения, в кабинете медицинского работника.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2. Изделия медицинского назначения, входящие в состав аптечки для оказания первой помощи работникам (далее - Состав аптечки), не подлежат замене.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3. По истечении сроков годности изделий медицинского назначения, входящих в Состав аптечки, или в случае их использования аптечку необходимо пополнить.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4. Аптечка для оказания первой помощи работникам подлежит комплектации изделиями медицинского назначения, зарегистрированными в установленном порядке на территории Российской Федерации.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>5. Рекомендации с пиктограммами по использованию изделий медицинского назначения аптечки для оказания первой помощи работникам (п. 4.2 Состава аптечки) должны предусматривать описание (изображение) следующих действий: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 а) при оказании первой помощи все манипуляции выполнять в медицинских перчатках (п. 3.3 Состава аптечки). При наличии угрозы распространения инфекционных заболеваний использовать маску медицинскую (п. 3.4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proofErr w:type="gramStart"/>
      <w:r w:rsidRPr="00054FA2">
        <w:rPr>
          <w:sz w:val="28"/>
          <w:szCs w:val="28"/>
        </w:rPr>
        <w:t xml:space="preserve">б) при артериальном кровотечении из крупной (магистральной) артерии прижать сосуд пальцами в точках прижатия, наложить жгут кровоостанавливающий (п. 1.1 Состава аптечки) выше места повреждения с указанием в записке (п. п. 4.4 - 4.5 Состава аптечки) времени наложения жгута, наложить на рану давящую (тугую) повязку (п. п. 1.2 - 1.12 Состава аптечки); </w:t>
      </w:r>
      <w:proofErr w:type="gramEnd"/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r w:rsidRPr="00054FA2">
        <w:rPr>
          <w:sz w:val="28"/>
          <w:szCs w:val="28"/>
        </w:rPr>
        <w:t xml:space="preserve"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легких "Рот - маска" (п. 2.1 Состава аптечки); </w:t>
      </w:r>
    </w:p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  <w:proofErr w:type="gramStart"/>
      <w:r w:rsidRPr="00054FA2">
        <w:rPr>
          <w:sz w:val="28"/>
          <w:szCs w:val="28"/>
        </w:rPr>
        <w:t>г) при наличии раны наложить давящую (тугую) повязку, используя стерильные салфетки (п. 1.9 Состава аптечки) и бинты (п. 1.2 - 1.7 Состава аптечки) или применяя пакет перевязочный стерильный (п. 1.8 Состава аптечки).</w:t>
      </w:r>
      <w:proofErr w:type="gramEnd"/>
      <w:r w:rsidRPr="00054FA2">
        <w:rPr>
          <w:sz w:val="28"/>
          <w:szCs w:val="28"/>
        </w:rPr>
        <w:t xml:space="preserve"> При отсутствии кровотечения из раны и отсутствии возможности наложения давящей повязки наложить на рану стерильную салфетку (п. 1.9 </w:t>
      </w:r>
      <w:r w:rsidRPr="00054FA2">
        <w:rPr>
          <w:sz w:val="28"/>
          <w:szCs w:val="28"/>
        </w:rPr>
        <w:lastRenderedPageBreak/>
        <w:t xml:space="preserve">Состава аптечки) и закрепить ее лейкопластырем (п. 1.12 Состава аптечки). </w:t>
      </w:r>
      <w:proofErr w:type="gramStart"/>
      <w:r w:rsidRPr="00054FA2">
        <w:rPr>
          <w:sz w:val="28"/>
          <w:szCs w:val="28"/>
        </w:rPr>
        <w:t xml:space="preserve">При микротравмах использовать лейкопластырь бактерицидный (п. 1.10 - 1.11 Состава аптечки); </w:t>
      </w:r>
      <w:proofErr w:type="gramEnd"/>
    </w:p>
    <w:p w:rsidR="00054FA2" w:rsidRPr="00054FA2" w:rsidRDefault="00054FA2" w:rsidP="00054FA2">
      <w:pPr>
        <w:pStyle w:val="Default"/>
        <w:jc w:val="both"/>
        <w:rPr>
          <w:color w:val="auto"/>
          <w:sz w:val="28"/>
          <w:szCs w:val="28"/>
        </w:rPr>
      </w:pPr>
      <w:r w:rsidRPr="00054FA2">
        <w:rPr>
          <w:sz w:val="28"/>
          <w:szCs w:val="28"/>
        </w:rPr>
        <w:t xml:space="preserve"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</w:t>
      </w:r>
      <w:proofErr w:type="spellStart"/>
      <w:r w:rsidRPr="00054FA2">
        <w:rPr>
          <w:sz w:val="28"/>
          <w:szCs w:val="28"/>
        </w:rPr>
        <w:t>текстилеподобного</w:t>
      </w:r>
      <w:proofErr w:type="spellEnd"/>
      <w:r w:rsidRPr="00054FA2">
        <w:rPr>
          <w:sz w:val="28"/>
          <w:szCs w:val="28"/>
        </w:rPr>
        <w:t xml:space="preserve"> материала стерильные спиртовые (и. 3.2 Состава аптечки); е) покрывало спасательное изотермическое (п. 3.5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054FA2" w:rsidRPr="00054FA2" w:rsidRDefault="00054FA2" w:rsidP="00054FA2">
      <w:pPr>
        <w:tabs>
          <w:tab w:val="left" w:pos="14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испытания спортивного оборудования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О 1 Комиссия, назначенная приказом________________________, Составили настоящий акт в том, что: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 описать площадь плоскостного сооружения и его наименование с указанием адреса.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2. Описать имеются ли санузлы и раздевалки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3. Описать имеются ли аптечки и их местонахождение.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1. На плоскостном спортивном сооружении для проведения занятий имеются (перечислить):____________шт., _________ шт. Все вышеперечисленные спортивное оборудование подлежало испытанию: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1.1. Перекладина под нагрузкой 220 кг, приложенной к середине грифа на высоте 2500 мм (прогиб грифа - 70 мм), фактически___________________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1.2. Каждая перекладина «шведской стенки», под нагрузкой 120 кг, приложенной под углом 60 градусов, фактически_____________________.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1.3. Футбольные ворота при приложении вертикально направленной силы в 1800 N к центру перекладины на 1мин+10с; фактически___________. При приложении горизонтально направленной силы в 1100 N к верхней части центра перекладины на 1мин+10с, фактически___________________.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1.4. _________________________________, фактически____________.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2. Прогибы гимнастических снарядов соответствуют установленным нормам; после снятия нагрузки повреждения и смещения не обнаружены, перекладина футбольных ворот деформировалась менее чем на 10 мм, футбольные ворота не опрокинулись.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3. Занятия на спортивных снарядах и оборудовании разрешаются. </w:t>
      </w:r>
    </w:p>
    <w:p w:rsidR="00054FA2" w:rsidRPr="00054FA2" w:rsidRDefault="00054FA2" w:rsidP="00054FA2">
      <w:pPr>
        <w:tabs>
          <w:tab w:val="left" w:pos="14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Председатель комиссии: Члены комиссии: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4FA2" w:rsidRP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54FA2" w:rsidRPr="00054FA2" w:rsidRDefault="00054FA2" w:rsidP="00054FA2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регистрации результатов испытаний спортивного инвентаря и оборудования (название образовательного учреждения, организации, адрес)</w:t>
      </w:r>
    </w:p>
    <w:p w:rsidR="00054FA2" w:rsidRPr="00054FA2" w:rsidRDefault="00054FA2" w:rsidP="00054FA2">
      <w:pPr>
        <w:tabs>
          <w:tab w:val="left" w:pos="11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Начат 20 г.                                                                                                                                              Окончен 20 г.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932"/>
        <w:gridCol w:w="2118"/>
        <w:gridCol w:w="1592"/>
        <w:gridCol w:w="1686"/>
        <w:gridCol w:w="1588"/>
      </w:tblGrid>
      <w:tr w:rsidR="00054FA2" w:rsidRPr="00054FA2" w:rsidTr="006D5E11">
        <w:tc>
          <w:tcPr>
            <w:tcW w:w="67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Наименование инвентаря и оборудования</w:t>
            </w: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В иды испытаний</w:t>
            </w: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Результаты визуального осмотра</w:t>
            </w:r>
          </w:p>
        </w:tc>
        <w:tc>
          <w:tcPr>
            <w:tcW w:w="1596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иссии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проводящ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испы</w:t>
            </w:r>
            <w:proofErr w:type="spell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</w:p>
        </w:tc>
      </w:tr>
      <w:tr w:rsidR="00054FA2" w:rsidRPr="00054FA2" w:rsidTr="006D5E11">
        <w:tc>
          <w:tcPr>
            <w:tcW w:w="67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54FA2" w:rsidRPr="00054FA2" w:rsidRDefault="00054FA2" w:rsidP="006D5E11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54FA2" w:rsidRDefault="00054FA2" w:rsidP="00054FA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на проведение занятий по физической культуре и спорту на спортивном плоскостном сооружении Комиссия, назначенная </w:t>
      </w:r>
      <w:proofErr w:type="spellStart"/>
      <w:r w:rsidRPr="00054FA2">
        <w:rPr>
          <w:rFonts w:ascii="Times New Roman" w:hAnsi="Times New Roman" w:cs="Times New Roman"/>
          <w:sz w:val="28"/>
          <w:szCs w:val="28"/>
        </w:rPr>
        <w:t>приказом______________________в</w:t>
      </w:r>
      <w:proofErr w:type="spellEnd"/>
      <w:r w:rsidRPr="00054FA2">
        <w:rPr>
          <w:rFonts w:ascii="Times New Roman" w:hAnsi="Times New Roman" w:cs="Times New Roman"/>
          <w:sz w:val="28"/>
          <w:szCs w:val="28"/>
        </w:rPr>
        <w:t xml:space="preserve"> составе: председателя __________________________________________________ и членов комиссии ____ составила настоящий акт в том, что: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1. На спортивном плоскостном сооружении организованы места занятий, которые соответствуют нормам по охране труда, правилам техники безопасности и нормам производственной санитарии, а также возрастным особенностям учащихся.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2. 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и спорту с учащимися ознакомлен.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3. Замечания и предложения комиссии:____________________________ </w:t>
      </w:r>
    </w:p>
    <w:p w:rsidR="00054FA2" w:rsidRPr="00054FA2" w:rsidRDefault="00054FA2" w:rsidP="00054FA2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4. Заключение комиссии о готовности спортивного плоскостного сооружения к новому учебному году___________________________________ Председатель комиссии Члены комиссии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Default="00054FA2" w:rsidP="00054FA2">
      <w:pPr>
        <w:tabs>
          <w:tab w:val="left" w:pos="14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A2" w:rsidRPr="00054FA2" w:rsidRDefault="00054FA2" w:rsidP="00054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A2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 xml:space="preserve"> прохождения инструктажа по технике безопасности на занятиях физической культурой и спортом с учащимися и воспитанниками (название образовательного учреждения, организации) (адрес образовательного учреждения, организации) Журнал пронумеровывается, прошнуровывается, скрепляется подписью руководителя и печатью образовательного учреждения, организации.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>Начат ___20___ г. Окончен 20 г.</w:t>
      </w:r>
    </w:p>
    <w:p w:rsidR="00054FA2" w:rsidRPr="00054FA2" w:rsidRDefault="00054FA2" w:rsidP="0005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FA2" w:rsidRPr="00054FA2" w:rsidRDefault="00054FA2" w:rsidP="00054FA2">
      <w:pPr>
        <w:tabs>
          <w:tab w:val="left" w:pos="2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4FA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993"/>
        <w:gridCol w:w="1559"/>
        <w:gridCol w:w="1134"/>
        <w:gridCol w:w="1276"/>
        <w:gridCol w:w="1134"/>
        <w:gridCol w:w="1134"/>
      </w:tblGrid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инструктируем </w:t>
            </w:r>
            <w:proofErr w:type="gram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Класс, группа</w:t>
            </w: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Номер инструкции и краткое содержание инструктаж а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Подпись инструктируем </w:t>
            </w:r>
            <w:proofErr w:type="gram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проводящего</w:t>
            </w:r>
            <w:proofErr w:type="gram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>проводящего</w:t>
            </w:r>
            <w:proofErr w:type="gramEnd"/>
            <w:r w:rsidRPr="00054FA2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</w:p>
        </w:tc>
      </w:tr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FA2" w:rsidRPr="00054FA2" w:rsidTr="006D5E11">
        <w:tc>
          <w:tcPr>
            <w:tcW w:w="1702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4FA2" w:rsidRPr="00054FA2" w:rsidRDefault="00054FA2" w:rsidP="006D5E11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FA2" w:rsidRPr="00054FA2" w:rsidRDefault="00054FA2" w:rsidP="00054FA2">
      <w:pPr>
        <w:pStyle w:val="Default"/>
        <w:jc w:val="both"/>
        <w:rPr>
          <w:sz w:val="28"/>
          <w:szCs w:val="28"/>
        </w:rPr>
      </w:pPr>
    </w:p>
    <w:p w:rsidR="00397727" w:rsidRPr="00054FA2" w:rsidRDefault="00397727" w:rsidP="00054FA2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A24B1F" w:rsidRPr="00054FA2" w:rsidRDefault="00A24B1F" w:rsidP="00054FA2">
      <w:pPr>
        <w:pStyle w:val="Default"/>
        <w:pageBreakBefore/>
        <w:jc w:val="both"/>
        <w:rPr>
          <w:sz w:val="28"/>
          <w:szCs w:val="28"/>
        </w:rPr>
      </w:pPr>
    </w:p>
    <w:p w:rsidR="00A24B1F" w:rsidRDefault="00A24B1F" w:rsidP="00397727">
      <w:pPr>
        <w:pStyle w:val="Default"/>
        <w:pageBreakBefore/>
      </w:pPr>
    </w:p>
    <w:p w:rsidR="00397727" w:rsidRDefault="00397727" w:rsidP="00397727">
      <w:pPr>
        <w:pStyle w:val="Default"/>
        <w:pageBreakBefore/>
        <w:rPr>
          <w:color w:val="auto"/>
        </w:rPr>
      </w:pPr>
    </w:p>
    <w:sectPr w:rsidR="0039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3311"/>
    <w:multiLevelType w:val="hybridMultilevel"/>
    <w:tmpl w:val="46D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36"/>
    <w:rsid w:val="0000381A"/>
    <w:rsid w:val="00003E8D"/>
    <w:rsid w:val="00013919"/>
    <w:rsid w:val="000154EB"/>
    <w:rsid w:val="00023383"/>
    <w:rsid w:val="00030981"/>
    <w:rsid w:val="00046255"/>
    <w:rsid w:val="00047C82"/>
    <w:rsid w:val="00050C42"/>
    <w:rsid w:val="00054FA2"/>
    <w:rsid w:val="00055715"/>
    <w:rsid w:val="0005622B"/>
    <w:rsid w:val="00057D3F"/>
    <w:rsid w:val="00061C25"/>
    <w:rsid w:val="00064901"/>
    <w:rsid w:val="000714D1"/>
    <w:rsid w:val="000759C7"/>
    <w:rsid w:val="00075F59"/>
    <w:rsid w:val="00081812"/>
    <w:rsid w:val="000848CB"/>
    <w:rsid w:val="00085431"/>
    <w:rsid w:val="00086CC2"/>
    <w:rsid w:val="0009604E"/>
    <w:rsid w:val="000A3FB4"/>
    <w:rsid w:val="000A53A1"/>
    <w:rsid w:val="000A7C89"/>
    <w:rsid w:val="000C16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29E4"/>
    <w:rsid w:val="001167B4"/>
    <w:rsid w:val="001170AE"/>
    <w:rsid w:val="001229B9"/>
    <w:rsid w:val="001235B7"/>
    <w:rsid w:val="001330F5"/>
    <w:rsid w:val="00133F0A"/>
    <w:rsid w:val="00140327"/>
    <w:rsid w:val="00140564"/>
    <w:rsid w:val="00142026"/>
    <w:rsid w:val="00143637"/>
    <w:rsid w:val="001458F4"/>
    <w:rsid w:val="00150736"/>
    <w:rsid w:val="001528BA"/>
    <w:rsid w:val="0015449A"/>
    <w:rsid w:val="00157389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A25BA"/>
    <w:rsid w:val="001A54C3"/>
    <w:rsid w:val="001A54F9"/>
    <w:rsid w:val="001A661B"/>
    <w:rsid w:val="001A710B"/>
    <w:rsid w:val="001A7E1D"/>
    <w:rsid w:val="001B5C61"/>
    <w:rsid w:val="001B6987"/>
    <w:rsid w:val="001B6E96"/>
    <w:rsid w:val="001D3E5F"/>
    <w:rsid w:val="001D5E86"/>
    <w:rsid w:val="001D67F4"/>
    <w:rsid w:val="001D6DB0"/>
    <w:rsid w:val="001E06B4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472F"/>
    <w:rsid w:val="002449F8"/>
    <w:rsid w:val="002467E3"/>
    <w:rsid w:val="002477C9"/>
    <w:rsid w:val="00247E64"/>
    <w:rsid w:val="002517E9"/>
    <w:rsid w:val="002615C4"/>
    <w:rsid w:val="002636CE"/>
    <w:rsid w:val="00264EC2"/>
    <w:rsid w:val="00270F68"/>
    <w:rsid w:val="00277A4B"/>
    <w:rsid w:val="002831CB"/>
    <w:rsid w:val="00297867"/>
    <w:rsid w:val="00297CD6"/>
    <w:rsid w:val="002B020A"/>
    <w:rsid w:val="002B187E"/>
    <w:rsid w:val="002B30B6"/>
    <w:rsid w:val="002C04FB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79E4"/>
    <w:rsid w:val="00314076"/>
    <w:rsid w:val="00316755"/>
    <w:rsid w:val="00317869"/>
    <w:rsid w:val="003239F8"/>
    <w:rsid w:val="0032736C"/>
    <w:rsid w:val="003319FB"/>
    <w:rsid w:val="00334035"/>
    <w:rsid w:val="00340326"/>
    <w:rsid w:val="00345921"/>
    <w:rsid w:val="0035475C"/>
    <w:rsid w:val="00355F64"/>
    <w:rsid w:val="00363D39"/>
    <w:rsid w:val="0037146B"/>
    <w:rsid w:val="003760EC"/>
    <w:rsid w:val="00390BFE"/>
    <w:rsid w:val="00393AB7"/>
    <w:rsid w:val="00394C51"/>
    <w:rsid w:val="00396DB2"/>
    <w:rsid w:val="00397727"/>
    <w:rsid w:val="003A5A36"/>
    <w:rsid w:val="003B6618"/>
    <w:rsid w:val="003B73CD"/>
    <w:rsid w:val="003E4382"/>
    <w:rsid w:val="003E5D21"/>
    <w:rsid w:val="003E64DA"/>
    <w:rsid w:val="003E6A6A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4FFE"/>
    <w:rsid w:val="004612E0"/>
    <w:rsid w:val="00461F97"/>
    <w:rsid w:val="00463131"/>
    <w:rsid w:val="0046367F"/>
    <w:rsid w:val="004642F1"/>
    <w:rsid w:val="0046460D"/>
    <w:rsid w:val="0047533E"/>
    <w:rsid w:val="00475B1D"/>
    <w:rsid w:val="004771B0"/>
    <w:rsid w:val="00481AFD"/>
    <w:rsid w:val="00485F34"/>
    <w:rsid w:val="00496849"/>
    <w:rsid w:val="004A11FE"/>
    <w:rsid w:val="004A6120"/>
    <w:rsid w:val="004B4356"/>
    <w:rsid w:val="004C0EAA"/>
    <w:rsid w:val="004C5F69"/>
    <w:rsid w:val="004D0285"/>
    <w:rsid w:val="004D0B5A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11FBF"/>
    <w:rsid w:val="00512894"/>
    <w:rsid w:val="005128E6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75E0D"/>
    <w:rsid w:val="005903E8"/>
    <w:rsid w:val="005937B1"/>
    <w:rsid w:val="005A14FA"/>
    <w:rsid w:val="005A292C"/>
    <w:rsid w:val="005A512C"/>
    <w:rsid w:val="005A71D6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7DD3"/>
    <w:rsid w:val="005F1799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3E03"/>
    <w:rsid w:val="00634CD6"/>
    <w:rsid w:val="00640FB1"/>
    <w:rsid w:val="00645124"/>
    <w:rsid w:val="00651AD2"/>
    <w:rsid w:val="00655874"/>
    <w:rsid w:val="006705FB"/>
    <w:rsid w:val="006713EA"/>
    <w:rsid w:val="00675B7B"/>
    <w:rsid w:val="00681104"/>
    <w:rsid w:val="0068214E"/>
    <w:rsid w:val="006828D8"/>
    <w:rsid w:val="006869A2"/>
    <w:rsid w:val="00693B72"/>
    <w:rsid w:val="006975DE"/>
    <w:rsid w:val="006A00A9"/>
    <w:rsid w:val="006A15B3"/>
    <w:rsid w:val="006A2EC9"/>
    <w:rsid w:val="006A4744"/>
    <w:rsid w:val="006C0DB7"/>
    <w:rsid w:val="006C1185"/>
    <w:rsid w:val="006C4CE1"/>
    <w:rsid w:val="006C635B"/>
    <w:rsid w:val="006C6526"/>
    <w:rsid w:val="006C7D0B"/>
    <w:rsid w:val="006D0DD8"/>
    <w:rsid w:val="006D110B"/>
    <w:rsid w:val="006D4D3E"/>
    <w:rsid w:val="006D6C5B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3392"/>
    <w:rsid w:val="007331DC"/>
    <w:rsid w:val="0073463D"/>
    <w:rsid w:val="00740B22"/>
    <w:rsid w:val="00741FFE"/>
    <w:rsid w:val="007428E5"/>
    <w:rsid w:val="00752D72"/>
    <w:rsid w:val="007551A9"/>
    <w:rsid w:val="007553FB"/>
    <w:rsid w:val="007608F4"/>
    <w:rsid w:val="00762173"/>
    <w:rsid w:val="00770326"/>
    <w:rsid w:val="0077666E"/>
    <w:rsid w:val="00777592"/>
    <w:rsid w:val="00785EA1"/>
    <w:rsid w:val="0079189C"/>
    <w:rsid w:val="007A0475"/>
    <w:rsid w:val="007A2B70"/>
    <w:rsid w:val="007A3961"/>
    <w:rsid w:val="007B00EA"/>
    <w:rsid w:val="007B2E6A"/>
    <w:rsid w:val="007B7A49"/>
    <w:rsid w:val="007C4973"/>
    <w:rsid w:val="007C5361"/>
    <w:rsid w:val="007C5A15"/>
    <w:rsid w:val="007D3C8A"/>
    <w:rsid w:val="007E69D9"/>
    <w:rsid w:val="007F03B1"/>
    <w:rsid w:val="00800E4C"/>
    <w:rsid w:val="00804356"/>
    <w:rsid w:val="008060D2"/>
    <w:rsid w:val="008115B5"/>
    <w:rsid w:val="00820F5B"/>
    <w:rsid w:val="008222B3"/>
    <w:rsid w:val="00827D98"/>
    <w:rsid w:val="00835C9D"/>
    <w:rsid w:val="0083710C"/>
    <w:rsid w:val="00837448"/>
    <w:rsid w:val="00843122"/>
    <w:rsid w:val="00844B4A"/>
    <w:rsid w:val="00844E5E"/>
    <w:rsid w:val="00846C96"/>
    <w:rsid w:val="008470A8"/>
    <w:rsid w:val="00850E62"/>
    <w:rsid w:val="008520B8"/>
    <w:rsid w:val="00853A78"/>
    <w:rsid w:val="00855CCE"/>
    <w:rsid w:val="0086376D"/>
    <w:rsid w:val="008677E9"/>
    <w:rsid w:val="008714DA"/>
    <w:rsid w:val="00873FF0"/>
    <w:rsid w:val="00881732"/>
    <w:rsid w:val="008843FE"/>
    <w:rsid w:val="008935C6"/>
    <w:rsid w:val="008A1E83"/>
    <w:rsid w:val="008A2014"/>
    <w:rsid w:val="008A43BC"/>
    <w:rsid w:val="008B0EB8"/>
    <w:rsid w:val="008B230F"/>
    <w:rsid w:val="008B670D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5B14"/>
    <w:rsid w:val="008F6C97"/>
    <w:rsid w:val="00900A93"/>
    <w:rsid w:val="0090672C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4DD"/>
    <w:rsid w:val="0097066D"/>
    <w:rsid w:val="00971A89"/>
    <w:rsid w:val="0097254B"/>
    <w:rsid w:val="00975364"/>
    <w:rsid w:val="00976045"/>
    <w:rsid w:val="00993A6E"/>
    <w:rsid w:val="00997BDF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E53B5"/>
    <w:rsid w:val="009F0EB0"/>
    <w:rsid w:val="009F4AA1"/>
    <w:rsid w:val="009F76E5"/>
    <w:rsid w:val="009F7822"/>
    <w:rsid w:val="00A01CEC"/>
    <w:rsid w:val="00A0688A"/>
    <w:rsid w:val="00A1350E"/>
    <w:rsid w:val="00A15B95"/>
    <w:rsid w:val="00A16CE5"/>
    <w:rsid w:val="00A2045F"/>
    <w:rsid w:val="00A24B1F"/>
    <w:rsid w:val="00A24C0C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6B26"/>
    <w:rsid w:val="00A7728A"/>
    <w:rsid w:val="00A857F1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4F0F"/>
    <w:rsid w:val="00B758AA"/>
    <w:rsid w:val="00B87A54"/>
    <w:rsid w:val="00B93D35"/>
    <w:rsid w:val="00B96788"/>
    <w:rsid w:val="00BA026E"/>
    <w:rsid w:val="00BA175B"/>
    <w:rsid w:val="00BA2FA7"/>
    <w:rsid w:val="00BA3A65"/>
    <w:rsid w:val="00BA7468"/>
    <w:rsid w:val="00BA7BC9"/>
    <w:rsid w:val="00BB391B"/>
    <w:rsid w:val="00BC2A8B"/>
    <w:rsid w:val="00BC439E"/>
    <w:rsid w:val="00BC58B1"/>
    <w:rsid w:val="00BD1996"/>
    <w:rsid w:val="00BD7B3D"/>
    <w:rsid w:val="00BE6600"/>
    <w:rsid w:val="00BF0464"/>
    <w:rsid w:val="00BF2398"/>
    <w:rsid w:val="00BF2CF6"/>
    <w:rsid w:val="00BF6D29"/>
    <w:rsid w:val="00BF76CB"/>
    <w:rsid w:val="00C01442"/>
    <w:rsid w:val="00C0260B"/>
    <w:rsid w:val="00C04337"/>
    <w:rsid w:val="00C06CA2"/>
    <w:rsid w:val="00C126D1"/>
    <w:rsid w:val="00C17C9D"/>
    <w:rsid w:val="00C22ABB"/>
    <w:rsid w:val="00C24DDF"/>
    <w:rsid w:val="00C275AC"/>
    <w:rsid w:val="00C27B99"/>
    <w:rsid w:val="00C3718B"/>
    <w:rsid w:val="00C40168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51B4"/>
    <w:rsid w:val="00CB785D"/>
    <w:rsid w:val="00CB7BAA"/>
    <w:rsid w:val="00CC1109"/>
    <w:rsid w:val="00CD158D"/>
    <w:rsid w:val="00CD164B"/>
    <w:rsid w:val="00CD2170"/>
    <w:rsid w:val="00CD2926"/>
    <w:rsid w:val="00CD3F9C"/>
    <w:rsid w:val="00CD68A5"/>
    <w:rsid w:val="00CF03EA"/>
    <w:rsid w:val="00CF479E"/>
    <w:rsid w:val="00D01591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318AB"/>
    <w:rsid w:val="00D41056"/>
    <w:rsid w:val="00D44C25"/>
    <w:rsid w:val="00D50A2B"/>
    <w:rsid w:val="00D52044"/>
    <w:rsid w:val="00D55876"/>
    <w:rsid w:val="00D6018B"/>
    <w:rsid w:val="00D65EF6"/>
    <w:rsid w:val="00D66628"/>
    <w:rsid w:val="00D714DC"/>
    <w:rsid w:val="00D83EB9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BB3"/>
    <w:rsid w:val="00DB3CE5"/>
    <w:rsid w:val="00DB4001"/>
    <w:rsid w:val="00DC0104"/>
    <w:rsid w:val="00DC6308"/>
    <w:rsid w:val="00DC7C19"/>
    <w:rsid w:val="00DD0882"/>
    <w:rsid w:val="00DE0092"/>
    <w:rsid w:val="00DE4079"/>
    <w:rsid w:val="00DE59CE"/>
    <w:rsid w:val="00DF51E6"/>
    <w:rsid w:val="00DF5595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7620"/>
    <w:rsid w:val="00E8211A"/>
    <w:rsid w:val="00E93302"/>
    <w:rsid w:val="00E94F96"/>
    <w:rsid w:val="00E968BD"/>
    <w:rsid w:val="00EA1BFE"/>
    <w:rsid w:val="00EB6312"/>
    <w:rsid w:val="00EB6569"/>
    <w:rsid w:val="00EB73F2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602"/>
    <w:rsid w:val="00F03EEB"/>
    <w:rsid w:val="00F12D48"/>
    <w:rsid w:val="00F13084"/>
    <w:rsid w:val="00F156A3"/>
    <w:rsid w:val="00F20302"/>
    <w:rsid w:val="00F25D6C"/>
    <w:rsid w:val="00F26D6B"/>
    <w:rsid w:val="00F27331"/>
    <w:rsid w:val="00F302BC"/>
    <w:rsid w:val="00F341C6"/>
    <w:rsid w:val="00F3789D"/>
    <w:rsid w:val="00F40685"/>
    <w:rsid w:val="00F4458C"/>
    <w:rsid w:val="00F506E6"/>
    <w:rsid w:val="00F54393"/>
    <w:rsid w:val="00F55318"/>
    <w:rsid w:val="00F61CA1"/>
    <w:rsid w:val="00F62A17"/>
    <w:rsid w:val="00F70C8F"/>
    <w:rsid w:val="00F75750"/>
    <w:rsid w:val="00F75A09"/>
    <w:rsid w:val="00F80DE7"/>
    <w:rsid w:val="00F81115"/>
    <w:rsid w:val="00F825C8"/>
    <w:rsid w:val="00F864A4"/>
    <w:rsid w:val="00F86A6D"/>
    <w:rsid w:val="00F901DC"/>
    <w:rsid w:val="00F97040"/>
    <w:rsid w:val="00FA3818"/>
    <w:rsid w:val="00FA5BAA"/>
    <w:rsid w:val="00FC0AE4"/>
    <w:rsid w:val="00FC1069"/>
    <w:rsid w:val="00FC1B61"/>
    <w:rsid w:val="00FD24DF"/>
    <w:rsid w:val="00FD6372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27"/>
    <w:pPr>
      <w:ind w:left="720"/>
      <w:contextualSpacing/>
    </w:pPr>
  </w:style>
  <w:style w:type="paragraph" w:customStyle="1" w:styleId="Default">
    <w:name w:val="Default"/>
    <w:rsid w:val="0039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27"/>
    <w:pPr>
      <w:ind w:left="720"/>
      <w:contextualSpacing/>
    </w:pPr>
  </w:style>
  <w:style w:type="paragraph" w:customStyle="1" w:styleId="Default">
    <w:name w:val="Default"/>
    <w:rsid w:val="0039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4809</Words>
  <Characters>27413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2021-08-26T10:19:00Z</dcterms:created>
  <dcterms:modified xsi:type="dcterms:W3CDTF">2021-08-26T10:19:00Z</dcterms:modified>
</cp:coreProperties>
</file>